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65 vom 3. Juni 2024</w:t>
      </w:r>
    </w:p>
    <w:p>
      <w:r>
        <w:t>VS Kantonsgericht, 2024-06-03, FR</w:t>
      </w:r>
    </w:p>
    <w:p>
      <w:r>
        <w:rPr>
          <w:b/>
        </w:rPr>
        <w:t xml:space="preserve">Quelle: </w:t>
      </w:r>
      <w:r>
        <w:t>https://mcp.opencaselaw.ch/entscheid/vs_gerichte_P1 22 65</w:t>
      </w:r>
    </w:p>
    <w:p>
      <w:r>
        <w:t>FR: VS_GERICHTE P1 22 65 du 3 juin 2024</w:t>
      </w:r>
    </w:p>
    <w:p>
      <w:r>
        <w:t>IT: VS_GERICHTE P1 22 65 del 3 giugno 2024</w:t>
      </w:r>
    </w:p>
    <w:p>
      <w:pPr>
        <w:pStyle w:val="Heading2"/>
      </w:pPr>
      <w:r>
        <w:t>Regeste</w:t>
      </w:r>
    </w:p>
    <w:p>
      <w:r>
        <w:t>P1 22 65 ARRÊT DU 3 JUIN 2024 Tribunal cantonal du Valais Cour pénale I Camille Rey-Mermet, juge ; Malika Hofer, greffière; en la cause Ministère public du canton du Valais, appelé, représenté par Monsieur Ludovic Schmied, procureur auprès de l’Office régional du Valais central, et X __________, partie plaignante et appelé, représenté par Maître Alexandre Bernel, avocat à Lausanne, contre Y __________, prévenu et appelant, représenté par Maître Alban Matthey, avocat à Lausanne. (faux dans les titres : art. 251 CP) Appel contre le jugement du tribunal de district de Sion du 13 mai 2022</w:t>
      </w:r>
    </w:p>
    <w:p>
      <w:pPr>
        <w:pStyle w:val="Heading2"/>
      </w:pPr>
      <w:r>
        <w:t>Erwägungen</w:t>
      </w:r>
    </w:p>
    <w:p>
      <w:r>
        <w:rPr>
          <w:b/>
        </w:rPr>
        <w:t>E. 2.1</w:t>
      </w:r>
    </w:p>
    <w:p>
      <w:r>
        <w:t>Toute partie - et notamment le condamné, comme en l’espèce - qui a un intérêt juridiquement protégé à l’annulation ou à la modification d’une décision a qualité pour recourir à son encontre (art. 382 al. 1 CPP).</w:t>
      </w:r>
    </w:p>
    <w:p>
      <w:r>
        <w:rPr>
          <w:b/>
        </w:rPr>
        <w:t>E. 2.2</w:t>
      </w:r>
    </w:p>
    <w:p>
      <w:r>
        <w:t>Le prévenu a déposé sa déclaration d’appel le 13 juin 2022, soit dans le délai légal de vingt jours courant dès la communication du jugement directement motivé qui lui a été notifié le 24 mai 2022 (cf. art. 399 al. 3 CPP ; ATF 138 IV 157 consid. 2.2). Cette écriture satisfait, par ailleurs, aux réquisits formels de l’art. 399 al. 3 et 4 CPP.</w:t>
      </w:r>
    </w:p>
    <w:p>
      <w:r>
        <w:rPr>
          <w:b/>
        </w:rPr>
        <w:t>E. 2.3</w:t>
      </w:r>
    </w:p>
    <w:p>
      <w:r>
        <w:t>Au surplus, sous l’angle de la compétence matérielle, un juge unique du Tribunal cantonal est habilité à statuer (art. 21 al. 1 let. a CPP et 14 al. 2 LACPP).</w:t>
      </w:r>
    </w:p>
    <w:p>
      <w:r>
        <w:rPr>
          <w:b/>
        </w:rPr>
        <w:t>E. 2.4</w:t>
      </w:r>
    </w:p>
    <w:p>
      <w:r>
        <w:t>Le prévenu conclut à son acquittement de l’infraction de faux dans les titres, au rejet des prétentions civiles de la partie plaignante (annonce d’appel du 1er juin 2022, déclaration d’appel du 13 juin 2022, p. 4 et rectificatif du 21 mai 2024 du procès-verbal des débats d’appel), à ce que les frais soient mis à la charge de la partie plaignante ou de l’Etat du Valais et à l’octroi en sa faveur d’une indemnité pour l’exercice raisonnable de ses droits de procédure (art. 429 CPP). Non remis en cause, son acquittement pour les chefs d’accusation d’abus de confiance (art. 138 al. 1 CP), d’escroquerie (art. 146 CP) et d’usure (art. 157 CP) prononcé en première instance est entrée en force et n’a ainsi pas à être revu (cf. ATF 147 IV 167 consid. 1.2).</w:t>
      </w:r>
    </w:p>
    <w:p>
      <w:r>
        <w:rPr>
          <w:b/>
        </w:rPr>
        <w:t>E. 3</w:t>
      </w:r>
    </w:p>
    <w:p>
      <w:r>
        <w:t>Le prévenu dénonce une violation de la maxime accusatoire. Il soutient que l’acte d’accusation ne décrit pas le dessein spécial prévu par l’art. 251 CP et en déduit qu’il doit être acquitté.</w:t>
      </w:r>
    </w:p>
    <w:p>
      <w:r>
        <w:rPr>
          <w:b/>
        </w:rPr>
        <w:t>E. 3.1</w:t>
      </w:r>
    </w:p>
    <w:p>
      <w:r>
        <w:t>Aux termes de l’art. 251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w:t>
      </w:r>
    </w:p>
    <w:p>
      <w:r>
        <w:t>- 10 - autrui, fait usage d’un tel titre, est puni d’une peine privative de liberté de cinq ans au plus ou d’une peine pécuniaire (ch. 1). Selon l’art. 9 al. 1 CPP,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 ATF 143 IV 63 consid. 2.2 ; 141 IV 132 consid. 3.4.1 et les références citées ; arrêt du Tribunal fédéral 6B_1404/2021 du 8 juin 2022 consid. 2.1). Celui-ci doit connaître exactement les faits qui lui sont imputés et les peines et mesures auxquelles il est exposé, afin qu'il puisse s'expliquer et préparer efficacement sa défense (ATF 143 IV 63 consid. 2.2 ; 141 IV 132 consid. 3.4.1). Conformément au principe de l’immutabilité, le tribunal est lié par l'état de fait décrit dans l'acte d'accusation. Le principe d’accusation est concrétisé par les art. 324 ss CPP qui règlent la mise en accusation, en particulier le contenu strict de l'acte d'accusation. Selon l'art. 325 CPP, l'acte d'accusation désigne notamment :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Selon la jurisprudence, la maxime d'accusation n'exige pas que l'acte d'accusation décrive, en droit, de manière précise l'ensemble des éléments déterminant l'aspect subjectif d'une infraction qui ne peut être qu'intentionnelle (arrêt du Tribunal fédéral 6B_44/2022 précité consid. 5.1 et les arrêts cités). Les éléments de fait qui permettent de conclure à la réalisation d’un dessein spécial doivent en revanche être décrits dans l'acte d'accusation (arrêt du Tribunal fédéral 6B_666/2015 du 27 juin 2016 consid. 1.5.4). La description des faits reprochés dans l'acte d'accusation doit être la plus brève possible (art. 325 al. 1 let. f CPP). Celui-ci ne poursuit pas le but de justifier ni de prouver le bien- fondé des allégations du ministère public, qui sont discutées lors des débats. Aussi, le ministère public ne doit-il pas y faire mention des preuves ou des considérations tendant à corroborer les faits. Le principe de l'accusation ne saurait empêcher l'autorité de jugement, au besoin, de constater des faits permettant de réfuter les contestations et allégations du prévenu, qu'il n'incombe pas au ministère public de décrire par le menu</w:t>
      </w:r>
    </w:p>
    <w:p>
      <w:r>
        <w:t>- 11 - dans l'acte d'accusation (arrêt du Tribunal fédéral 6B_44/2022 du 20 décembre 2022 consid. 5.1 et les arrêts cités).</w:t>
      </w:r>
    </w:p>
    <w:p>
      <w:r>
        <w:rPr>
          <w:b/>
        </w:rPr>
        <w:t>E. 3.2</w:t>
      </w:r>
    </w:p>
    <w:p>
      <w:r>
        <w:t>En l’espèce, l’acte d’accusation est muet au sujet du dessein spécial poursuivi par le prévenu, qui constitue un des éléments subjectifs du faux dans les titres. Conformément à la jurisprudence, il faut examiner si l’acte d’accusation contient au moins les éléments de faits qui permettent de déduire l’existence soit d’un dessein de nuire à autrui soit d’un dessein de se procurer ou de procurer à un tiers un avantage illicite. L’ordonnance pénale valant acte d’accusation a été dressée le 28 mai 2020. Les faits reprochés au prévenu y sont décrits comme suit : « E __________, chef de ventes &amp; marketing de la société A __________ SA, ne s’est plus présenté sur sa place de travail à dater du 5 juin 2018. A sa demande, lors d’un échange épistolaire avec le CEO de dite société, G __________, il a été licencié le 30 juillet 2018 au motif « d’abandon de poste ». Les salaires de mois de juin et juillet 2018 ne lui ayant jamais été versés, E __________ a dès lors adressé un commandement de payer à l’encontre de A __________ SA pour 13'365 francs, correspondant aux salaires réclamés. Cela étant, dans sa requête de mainlevée d’opposition adressée au Tribunal de district de B __________ le 24 septembre 2018, E __________ a produit – pour la première fois dans le cadre de cette procédure – une lettre de licenciement datée du 8 juin 2018 et signée par Y __________, administrateur unique démis de ses fonctions le 11 juin 2018, lequel a admis avoir établi et signé dite lettre à la date correspondante. Cela étant, malgré les déclarations concordantes de E __________ et de Y __________ quant à l’authenticité du document en question, le soussigné retient que celles-ci ne résistent pas à l’examen des éléments figurant au dossier, en particulier les différents échanges de courriels entre G __________ et E __________, desquels il ressort clairement que ce dernier se considère encore comme employé de la société en question, à tout le moins jusqu’au 26 juin 2018. En effet, dans un courriel adressé à G __________ en réponse aux interrogations de ce dernier quant à l’absence de E __________, celui-ci conclut en ces termes « tu peux m’envoyer ma lettre de congé avec comme motif « divergence de vues sur la stratégie future de la société » et me libérer de mes obligations pendant le délai de congé ». Cette résiliation du contrat de travail est intervenue le 30 juillet 2018 par courrier recommandé adressé par G __________ à E __________. Au surplus, il est constaté que la lettre de licenciement du 8 juin 2018 n’a jamais fait l’objet d’un accusé de réception, ne serait-ce qu’une mention manuscrite sur ledit document. Dans ces circonstances, le soussigné retient que la lettre de licenciement produite par E __________ devant le Tribunal, datée du 8 juin 2018 et signée par Y __________, ne peut avoir été établie par ce dernier à cette date et constitue un faux. Par jugement du 26 novembre 2018, la requête en mainlevée de l’opposition a été admise (escroquerie, art. 146 CP ; faux dans les titres, art. 251 CP). » En résumé, si l’on fait abstraction des considérations relatives à l’appréciation des preuves, l’acte d’accusation rapporte que E __________ ne s’est plus présenté au travail dès le 5 juin 2018, que A __________ SA l’a licencié pour abandon de poste le 30 juillet</w:t>
      </w:r>
    </w:p>
    <w:p>
      <w:r>
        <w:t>- 12 - 2018, que E __________ a ouvert une poursuite contre cette société pour obtenir le paiement des salaires des mois de juin et juillet 2018, qu’il a produit dans le cadre la procédure de mainlevée une lettre de congé datée du 8 juin 2018 et signée par l’administrateur Y __________, que cette lettre a manifestement été rédigée postérieurement au 8 juin 2018 et que E __________ a finalement obtenu la levée de l’opposition formée par A __________ SA. Parmi ces éléments, on ne voit pas lequel indiquerait qu’en antidatant la lettre de congé, le prévenu a voulu nuire à la société ou procurer à E __________ un avantage illicite. L’acte d’accusation ne décrit d’ailleurs pas à quelle date le congé donné par le prévenu et celui signifié le 30 juillet 2018 par la société étaient censés prendre effet. On peut bien plutôt déduire du récit des évènements fait par le procureur que E __________ avait droit aux salaires des mois de juin et juillet 2018 puisqu’il était encore employé à tout le moins en juin 2018 et que le tribunal qui a statué sur la mainlevée lui a donné raison. La description des circonstances relatives au dessein de nuire ou de procurer un avantage illicite à un tiers était d’autant plus importante qu’ils concernent des éléments qui sont externes au prévenu. Comme on ne voit pas le lien que le prévenu entretient avec E __________, hormis leur relation professionnelle, on ne comprend pas pourquoi le premier aurait souhaité procurer un avantage au second. Force est ainsi de constater que l’ordonnance pénale ne concrétise pas le reproche fait au prévenu sur le plan subjectif. Selon le jugement attaqué, le prévenu avait le dessein de procurer à E __________ un avantage illicite et de nuire à la société A __________ qui l’avait démis de ses fonctions le 11 juin 2018. Dans la partie « en faits », le juge de district précise que le Tribunal du travail a, le 12 octobre 2021, constaté l’inexistence de la créance déduite en poursuite par E __________ correspondant aux salaires des mois de juin et juillet 2018 et annulé la poursuite ouverte contre A __________ SA. Ces éléments ne sont pas évoqués dans l'acte d'accusation du 28 mai 2020. Ils devaient pourtant y figurer dès lors qu’ils permettent de comprendre que le dessein du prévenu était de procurer un avantage illicite à E __________, voire de nuire à A __________ SA. En les retenant à charge, le tribunal de première instance a violé le principe d'accusation. Par conséquent, la procédure en lien avec l’infraction de faux dans les titres est classée.</w:t>
      </w:r>
    </w:p>
    <w:p>
      <w:r>
        <w:rPr>
          <w:b/>
        </w:rPr>
        <w:t>E. 4</w:t>
      </w:r>
    </w:p>
    <w:p>
      <w:r>
        <w:t>Le prévenu conteste le renvoi des prétentions civiles au for civil prononcé par le premier juge (déclaration d’appel, p. 4 let. c). Il conclut à leur rejet pur et simple.</w:t>
      </w:r>
    </w:p>
    <w:p>
      <w:r>
        <w:t>- 13 -</w:t>
      </w:r>
    </w:p>
    <w:p>
      <w:r>
        <w:rPr>
          <w:b/>
        </w:rPr>
        <w:t>E. 4.1</w:t>
      </w:r>
    </w:p>
    <w:p>
      <w:r>
        <w:t>En qualité de partie plaignante, le lésé peut faire valoir des conclusions civiles déduites de l’infraction par adhésion à la procédure pénale (art. 122 al. 1 CPP). Aux termes de l'art. 126 al. 1 CPP, le tribunal statue sur les conclusions civiles lorsqu’il rend un verdict de culpabilité à l’encontre du prévenu (let. a) et lorsqu'il acquitte le prévenu et que l'état de fait est suffisamment établi (b). Lorsque les preuves recueillies jusque-là, dans le cadre de la procédure, sont suffisantes pour permettre de statuer sur les conclusions civiles, le juge pénal est tenu de se prononcer sur le sort des prétentions civiles. L’état de fait est suffisamment établi si le juge est en état de prendre une décision sur la base des preuves rassemblées, en d’autres termes, comme le dit le Message (Message relatif à l’unification du droit de la procédure pénale du 21 décembre 2005 in FF 1057ss, p. 1153), lorsque « les preuves recueillies jusque-là, dans le cadre de la procédure, sont suffisantes pour permettre de statuer sur les conclusions civiles  ». Cette cautèle – qui vise à protéger la partie plaignante – s’explique notamment du fait qu’un acquittement peut découler de la mise en œuvre du principe « in dubio pro reo », l’accusation se voyant reprocher d’avoir soumis au juge un état de fait lacunaire : obliger le juge à se prononcer dans ces conditions sur les conclusions civiles aboutirait bien souvent – par application de l’art. 8 CC – à un déboutement de la partie plaignante sur le plan civil (JEANDIN/FONTANET, Commentaire romand, 2e éd. 2019, n. 10 ad art. 126 CPP). Conformément à l'art.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 53 CO, le jugement pénal ne lie pas le juge civil - qu'au déboutement de la partie plaignante. En règle générale, si l'acquittement résulte de motifs juridiques, c'est-à-dire en cas de non- réalisation d'un élément constitutif de l'infraction, les conditions d'une action civile par adhésion à la procédure pénale font défaut et les conclusions civiles doivent être rejetées. Le juge pénal peut néanmoins statuer sur les conclusions civiles, malgré un acquittement, lorsque l'élément constitutif subjectif de l'infraction fait défaut mais que le comportement reproché au prévenu constitue un acte illicite au sens de l'art. 41 CO. Tel est par exemple le cas pour un dommage à la propriété commis par négligence ou lorsque la culpabilité fait défaut en raison de l'irresponsabilité du prévenu au sens de l'art. 19 al. 1 CP (ATF 148 IV 432 consid. 3.1.1 et les références citées).</w:t>
      </w:r>
    </w:p>
    <w:p>
      <w:r>
        <w:rPr>
          <w:b/>
        </w:rPr>
        <w:t>E. 4.2</w:t>
      </w:r>
    </w:p>
    <w:p>
      <w:r>
        <w:t>Dans le cas particulier, X __________ alléguait avoir payé 25'000 fr. au prévenu en échange d’une assistance administrative en vue de l’obtention d’un permis de séjour et</w:t>
      </w:r>
    </w:p>
    <w:p>
      <w:r>
        <w:t>- 14 - avoir investi, à la demande du prévenu, 250’000 fr. dans l’achat d’actions de D __________ SA, actions dont le prix aurait été manifestement surévalué. Il a conclu en première instance au versement en sa faveur du montant de 25'000 fr., plus intérêts, et à ce que sa prétention liée à la vente par le prévenu d’actions de D __________ SA soit admise sur le principe et renvoyée au for civil pour le surplus (dos. p. 447). Ces deux conclusions ont été élevées en lien avec l’infraction d’usure qui était reprochée au prévenu. Celui-ci a été définitivement acquitté de ce chef d’accusation par le premier juge pour plusieurs motifs (jugement entrepris, p. 33). Le magistrat précédent a considéré que la victime était un entrepreneur expérimenté dont les affaires étaient florissantes. Il était cofondateur et détenait en K _________ un tiers des actions d’une holding d’alimentation et de restauration qui exploitait trois restaurants, comptait 250 employés et réalisait un chiffre d’affaires annuel de 8 millions de francs. Le simple fait qu’il ne parle pas français ne constituait pas un handicap car il lui était loisible de faire appel à un interprète en vue des démarches pour l’obtention d’un permis de séjour. La partie plaignante ne se trouvait ainsi pas dans une situation de faiblesse ou de gêne, en d’autres termes un des éléments constitutifs objectifs de l’infraction d’usure faisait défaut. En ce qui concerne l’achats des actions, le tribunal de district a par ailleurs estimé que l’acte d’accusation était insuffisant, sous l’angle de la maxime accusatoire, car il ne faisait pas état d’une surévaluation de leur prix. Enfin, s’agissant du montant de 25'000 fr. payé en échange d’une assistance administrative, le premier juge a relevé qu’il n’était pas établi que la partie plaignante avait bien payé ce montant. En d’autres termes, il a écarté l’action civile pour des motifs juridiques, factuels et liés au droit de procédure. Quoi qu’il en soit, le motif juridique (non-réalisation de l’élément constitutif de la situation de faiblesse) permettait à lui seul de justifier l’acquittement du prévenu de l’infraction d’usure. Dans ces circonstances, les conclusions civiles devaient être rejetées et non renvoyées au for civil. Par conséquent, l’appel doit être admis et le jugement attaqué réformé dans le sens de ce qui précède.</w:t>
      </w:r>
    </w:p>
    <w:p>
      <w:r>
        <w:rPr>
          <w:b/>
        </w:rPr>
        <w:t>E. 5.1.1</w:t>
      </w:r>
    </w:p>
    <w:p>
      <w:r>
        <w:t>Les frais et indemnités doivent être fixés de façon séparée pour chaque phase de la procédure (ATF 142 IV 163 consid. 3.2.2). Si, comme en l’espèce, l’autorité de recours rend elle-même une nouvelle décision, elle se prononce également sur les frais fixés par l’autorité inférieure (art. 428 al. 3 CPP).</w:t>
      </w:r>
    </w:p>
    <w:p>
      <w:r>
        <w:t>- 15 - Le sort des frais de procédure de première instance est régi par les art. 426 et 427 CPP. Le prévenu supporte les frais de procédure s'il est condamné, sous réserve des frais liés à la défense d’office (cf. art. 426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Les frais de procédure causé par les conclusions civiles de la partie plaignante peuvent être mis à la charge de celle-ci lorsque la procédure est classée ou que le prévenu est acquitté (art. 421 al. 1 let. a CPP) ou lorsque les conclusions civiles ont été écartées ou que la partie plaignante a été renvoyée à agir par la voie civile (art. 421 al. let. c CPP).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w:t>
      </w:r>
    </w:p>
    <w:p>
      <w:r>
        <w:rPr>
          <w:b/>
        </w:rPr>
        <w:t>E. 5.1.2</w:t>
      </w:r>
    </w:p>
    <w:p>
      <w:r>
        <w:t>En l’espèce, le prévenu est acquitté des quatre infractions qui lui étaient reprochées et qui sont toutes poursuivies d’office. Contrairement à ce qu’a retenu le premier magistrat, il n’y a pas lieu de faire application de l’art. 426 al. 2 CPP et de mettre les frais à la charge du prévenu s’agissant des infractions d’abus de confiance et d’usure, aucune faute civile ni aucun autre comportement fautif et contraire à une règle juridique, qui soit en relation de causalité avec ces frais, ne pouvant lui être reproché. Il n’en va pas de même pour les infractions d’escroquerie et de faux dans les titres qui reposent sur le même état de fait. En effet, alors qu’il avait démissionné de son mandat d’administrateur et n’avait plus les pouvoirs de gérer et représenter la société, le prévenu a rédigé une lettre de licenciement qui libérait E __________ de son obligation de travailler durant les mois de juin et juillet 2018. E __________ a ensuite poursuivi A __________ SA pour obtenir le paiement de sa créance de salaire et a obtenu, grâce à la lettre de congé rédigée par le prévenu, la levée des oppositions au commandement de payer. Ce faisant, le prévenu a adopté un comportement contradictoire, contraire à la bonne foi. Il était également en porte-à-faux avec son obligation de fidélité puisque son comportement était de nature à nuire aux intérêts de la société (art. 717 CO ; sur la prolongation de ce devoir après la fin du mandat : ZEN-RUFFINEN/BAUEN, Le conseil d’administration, n. 224 ; BÖCKLI , Schweizer Aktienrecht, 5ème éd., 2022, n. 767). Par</w:t>
      </w:r>
    </w:p>
    <w:p>
      <w:r>
        <w:t>- 16 - conséquent, il doit supporter le tiers des frais de première instance, en application de l’art. 426 al. 1 CPP. Ces frais ont été arrêtés à 3184 fr. 70 (ministère public : 1984 fr. 70 ; tribunal de première instance : 1200 fr.), conformément aux dispositions légales applicables et sans que cela ne soit contesté en appel. Le solde des frais de première instance est mis à la charge de l’Etat du Valais. Il n’y a en particulier pas lieu de les faire supporter par la partie plaignante car le traitement des conclusions civiles n’a pas occasionné de travail particulier et les infractions reprochées au prévenu sont toutes poursuivies d’office (art. 427 al. 2 CPP a contrario). Partant, les frais de première instance sont répartis à concurrence de 1062 fr. à la charge du prévenu et de 2122 fr. 70 à la charge de l’Etat du Valais.</w:t>
      </w:r>
    </w:p>
    <w:p>
      <w:r>
        <w:rPr>
          <w:b/>
        </w:rPr>
        <w:t>E. 5.2.1</w:t>
      </w:r>
    </w:p>
    <w:p>
      <w:r>
        <w:t>Selon l’art. 429 al. 1 let. a CPP,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(arrêt du Tribunal fédéral 6B_74/2022 du 4 mai 2023 consid. 1.4 et les arrêts cités). Dans cette mesure, la décision sur les frais préjuge de la question de l'indemnisation (ATF 147 IV 47 consid. 4.1 ; 144 IV 207 consid. 1.8.2 ; 137 IV 352 consid. 2.4.2). Si le prévenu supporte les frais en application de l’art. 426 al. 1 ou 2 CPP, une indemnité est en règle générale exclue. En revanche, si l'Etat supporte les frais de la procédure pénale, le prévenu a en principe droit à une indemnité selon l’art. 429 CPP (cf. ATF 137 IV 352 consid. 2.4.2 et 144 IV 207 consid. 1.8.2).</w:t>
      </w:r>
    </w:p>
    <w:p>
      <w:r>
        <w:rPr>
          <w:b/>
        </w:rPr>
        <w:t>E. 5.2.2</w:t>
      </w:r>
    </w:p>
    <w:p>
      <w:r>
        <w:t>Au vu de la répartition des frais de première instance (cf. consid. 5.1.2 ci-dessus), le prévenu a droit à une indemnité réduite à deux tiers de ses frais d’avocat pour les dépenses occasionnées par l'exercice raisonnable de ses droits de procédure (art. 429 al. 1 let. a CPP). Dans la mesure où les infractions pour lesquelles il est acquitté sont poursuivies d’office, celle-ci doit être supportée par l’Etat du Valais. Maître Alban Mathey a déposé en première instance une note de frais faisant état de 26'133 fr. 10 pour 63h12 d’activité déployée et 250 fr. de débours (dos. p. 440 à 442). Les débats de première instance ont toutefois duré 1h10 et non 3h30 comme comptabilisé (-2h20). Les très nombreux entretiens privés ou téléphoniques entre l’avocat et son client, totalisant au moins 11h20, ne sauraient être tous indemnisés et doivent être ramenés à 5h00 (-6h20). En tenant encore compte d’un tarif horaire de 260 fr. par heure, TVA en sus, pour un avocat breveté (arrêt du Tribunal fédéral 6B_646/2022</w:t>
      </w:r>
    </w:p>
    <w:p>
      <w:r>
        <w:t>- 17 - du 18 janvier 2023 consid. 3.5.2), l’indemnité réduite (-1/3) allouée au prévenu en première instance et mise à la charge de l’Etat du Valais est arrêtée à 10’360 fr., TVA et débours compris.</w:t>
      </w:r>
    </w:p>
    <w:p>
      <w:r>
        <w:rPr>
          <w:b/>
        </w:rPr>
        <w:t>E. 5.3</w:t>
      </w:r>
    </w:p>
    <w:p>
      <w:r>
        <w:t>L'art. 433 al. 1 CPP permet à la partie plaignante de demander au prévenu une juste indemnité pour les dépenses obligatoires occasionnées par la procédure lorsqu'elle obtient gain de cause (let. a) ou lorsque le prévenu est astreint au paiement de frais conformément à l’art. 426 al. 2 CPP (let. b). La partie plaignante obtient gain de cause si ses prétentions civiles sont admises et/ou lorsque le prévenu est condamné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l’occurrence, le prévenu est acquitté de l’ensemble des infractions qui lui étaient reprochées et les prétentions civiles de la partie plaignante sont rejetées. Certes, une partie des frais de première instance est mise à la charge du prévenu en application de l’art. 426 al. 2 CPP, ce qui ouvre en principe le droit à une juste indemnité en application de l’art. 433 al. 1 let. b CPP. Dès lors qu’aucune indemnité n’avait été allouée à la partie plaignante en première instance, il n’y a pas lieu de modifier le jugement sur ce point, à peine de violation de l’interdiction de la reformatio in pejus.</w:t>
      </w:r>
    </w:p>
    <w:p>
      <w:r>
        <w:rPr>
          <w:b/>
        </w:rPr>
        <w:t>E. 6.1</w:t>
      </w:r>
    </w:p>
    <w:p>
      <w:r>
        <w:t>Le sort des frais de la procédure d'appel est réglé à l'art.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b CPP). Pour déterminer si une partie succombe ou obtient gain de cause, il faut examiner dans quelle mesure ses conclusions sont admises (arrêt du Tribunal fédéral 6B_143/2022 du 29 novembre 2022 consid. 3.1 ; DOMEISEN, in Commentaire bâlois, 2ème éd. 2014, n. 6 ad art. 428 CPP). La cause présentait une ampleur mesurée et un degré de difficulté usuel. Eu égard, en outre, aux principes de l'équivalence des prestations et de la couverture des frais, l’émolument de justice pour la procédure d’appel est fixé à 800 fr., débours compris (huissier : 25 fr.). L’appel déposé par le prévenu étant intégralement admis, les frais de seconde instance sont mis à la charge du fisc.</w:t>
      </w:r>
    </w:p>
    <w:p>
      <w:r>
        <w:t>- 18 -</w:t>
      </w:r>
    </w:p>
    <w:p>
      <w:r>
        <w:rPr>
          <w:b/>
        </w:rPr>
        <w:t>E. 6.2</w:t>
      </w:r>
    </w:p>
    <w:p>
      <w:r>
        <w:t>Le prévenu a encore droit à une indemnité fondée sur l’art. 429 CPP pour la procédure de seconde instance. Son conseil a déposé un décompte dont il ressort qu’il a consacré 18h24 à la procédure d’appel, ce qui paraît excessif compte tenu notamment du fait que l’objet de la procédure était limité à l’infraction de faux dans les titres. Les débats d’appel n’ont pas duré 3h comme comptabilisé mais 45 minutes auxquels on peut ajouter 15 minutes pour un entretien avec le client (- 2h). Quant aux autres contacts avec le client, ils doivent être ramenés à 1h30 au lieu de 4h18 (- 2h48). Enfin, le temps indiqué pour la rédaction de l’appel de sept pages (6h12) doit être réduit à 4 heures (-2h12). Compte tenu d’un tarif horaire de 260 fr. par heure, TVA en sus, pour un avocat breveté (cf. consid. 5.2), l’indemnité allouée au prévenu en seconde instance est fixée à 3350 fr. (montant arrondi), TVA et débours compris, et mise à la charge de l’Etat du Valais.</w:t>
      </w:r>
    </w:p>
    <w:p>
      <w:r>
        <w:rPr>
          <w:b/>
        </w:rPr>
        <w:t>E. 6.3</w:t>
      </w:r>
    </w:p>
    <w:p>
      <w:r>
        <w:t>Quant à la partie plaignante, elle n’a pas réclamé d’indemnité en seconde instance. L’eût-elle fait que cette prétention aurait été rejetée dès lors qu’elle avait conclu au rejet de l’appel qui a été intégralement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